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138" w:rsidRDefault="00C912C1" w:rsidP="00451946">
      <w:pPr>
        <w:jc w:val="center"/>
        <w:rPr>
          <w:rFonts w:eastAsia="Times New Roman" w:cstheme="minorHAnsi"/>
          <w:color w:val="000000"/>
          <w:shd w:val="clear" w:color="auto" w:fill="FFFFFF"/>
          <w:lang w:eastAsia="es-ES_tradnl"/>
        </w:rPr>
      </w:pPr>
      <w:r>
        <w:rPr>
          <w:rFonts w:eastAsia="Times New Roman" w:cstheme="minorHAnsi"/>
          <w:color w:val="000000"/>
          <w:shd w:val="clear" w:color="auto" w:fill="FFFFFF"/>
          <w:lang w:eastAsia="es-ES_tradnl"/>
        </w:rPr>
        <w:t>(Administració sancionadora)</w:t>
      </w:r>
    </w:p>
    <w:p w:rsidR="00C912C1" w:rsidRDefault="00C912C1" w:rsidP="00451946">
      <w:pPr>
        <w:jc w:val="center"/>
        <w:rPr>
          <w:rFonts w:ascii="Calibri" w:eastAsia="Times New Roman" w:hAnsi="Calibri" w:cs="Calibri"/>
          <w:lang w:eastAsia="es-ES_tradnl"/>
        </w:rPr>
      </w:pPr>
      <w:r>
        <w:rPr>
          <w:rFonts w:ascii="Calibri" w:eastAsia="Times New Roman" w:hAnsi="Calibri" w:cs="Calibri"/>
          <w:lang w:eastAsia="es-ES_tradnl"/>
        </w:rPr>
        <w:t>(Adreça)</w:t>
      </w:r>
    </w:p>
    <w:p w:rsidR="00C912C1" w:rsidRDefault="00C912C1">
      <w:pPr>
        <w:rPr>
          <w:rFonts w:ascii="Calibri" w:eastAsia="Times New Roman" w:hAnsi="Calibri" w:cs="Calibri"/>
          <w:lang w:eastAsia="es-ES_tradnl"/>
        </w:rPr>
      </w:pPr>
    </w:p>
    <w:p w:rsidR="00C912C1" w:rsidRDefault="00C912C1">
      <w:pPr>
        <w:rPr>
          <w:rFonts w:ascii="Calibri" w:eastAsia="Times New Roman" w:hAnsi="Calibri" w:cs="Calibri"/>
          <w:lang w:eastAsia="es-ES_tradnl"/>
        </w:rPr>
      </w:pPr>
      <w:r>
        <w:rPr>
          <w:rFonts w:ascii="Calibri" w:eastAsia="Times New Roman" w:hAnsi="Calibri" w:cs="Calibri"/>
          <w:lang w:eastAsia="es-ES_tradnl"/>
        </w:rPr>
        <w:t>Ref.: (número de l’expedient sancionador)</w:t>
      </w:r>
    </w:p>
    <w:p w:rsidR="00C912C1" w:rsidRDefault="00C912C1">
      <w:pPr>
        <w:rPr>
          <w:rFonts w:ascii="Calibri" w:eastAsia="Times New Roman" w:hAnsi="Calibri" w:cs="Calibri"/>
          <w:lang w:eastAsia="es-ES_tradnl"/>
        </w:rPr>
      </w:pPr>
    </w:p>
    <w:p w:rsidR="00C912C1" w:rsidRDefault="00C912C1">
      <w:pPr>
        <w:rPr>
          <w:rFonts w:ascii="Calibri" w:eastAsia="Times New Roman" w:hAnsi="Calibri" w:cs="Calibri"/>
          <w:lang w:eastAsia="es-ES_tradnl"/>
        </w:rPr>
      </w:pPr>
      <w:r>
        <w:rPr>
          <w:rFonts w:ascii="Calibri" w:eastAsia="Times New Roman" w:hAnsi="Calibri" w:cs="Calibri"/>
          <w:lang w:eastAsia="es-ES_tradnl"/>
        </w:rPr>
        <w:t>(Nom i cognoms), amb DNI (número), domicili a efectes de notificacions a (adreça del domicili) i número de telèfon (número),</w:t>
      </w:r>
    </w:p>
    <w:p w:rsidR="00C912C1" w:rsidRDefault="00C912C1">
      <w:pPr>
        <w:rPr>
          <w:rFonts w:ascii="Calibri" w:eastAsia="Times New Roman" w:hAnsi="Calibri" w:cs="Calibri"/>
          <w:lang w:eastAsia="es-ES_tradnl"/>
        </w:rPr>
      </w:pPr>
    </w:p>
    <w:p w:rsidR="00C912C1" w:rsidRDefault="00C912C1">
      <w:pPr>
        <w:rPr>
          <w:rFonts w:ascii="Calibri" w:eastAsia="Times New Roman" w:hAnsi="Calibri" w:cs="Calibri"/>
          <w:lang w:eastAsia="es-ES_tradnl"/>
        </w:rPr>
      </w:pPr>
    </w:p>
    <w:p w:rsidR="00C912C1" w:rsidRDefault="00C912C1">
      <w:pPr>
        <w:rPr>
          <w:rFonts w:ascii="Calibri" w:eastAsia="Times New Roman" w:hAnsi="Calibri" w:cs="Calibri"/>
          <w:lang w:eastAsia="es-ES_tradnl"/>
        </w:rPr>
      </w:pPr>
    </w:p>
    <w:p w:rsidR="00C912C1" w:rsidRDefault="00C912C1">
      <w:pPr>
        <w:rPr>
          <w:rFonts w:ascii="Calibri" w:eastAsia="Times New Roman" w:hAnsi="Calibri" w:cs="Calibri"/>
          <w:lang w:eastAsia="es-ES_tradnl"/>
        </w:rPr>
      </w:pPr>
      <w:r>
        <w:rPr>
          <w:rFonts w:ascii="Calibri" w:eastAsia="Times New Roman" w:hAnsi="Calibri" w:cs="Calibri"/>
          <w:lang w:eastAsia="es-ES_tradnl"/>
        </w:rPr>
        <w:t>EXPOSO:</w:t>
      </w:r>
    </w:p>
    <w:p w:rsidR="00C912C1" w:rsidRDefault="00C912C1">
      <w:pPr>
        <w:rPr>
          <w:rFonts w:ascii="Calibri" w:eastAsia="Times New Roman" w:hAnsi="Calibri" w:cs="Calibri"/>
          <w:lang w:eastAsia="es-ES_tradnl"/>
        </w:rPr>
      </w:pPr>
    </w:p>
    <w:p w:rsidR="00C912C1" w:rsidRDefault="00C912C1">
      <w:pPr>
        <w:rPr>
          <w:rFonts w:ascii="Calibri" w:eastAsia="Times New Roman" w:hAnsi="Calibri" w:cs="Calibri"/>
          <w:lang w:eastAsia="es-ES_tradnl"/>
        </w:rPr>
      </w:pPr>
      <w:r>
        <w:rPr>
          <w:rFonts w:ascii="Calibri" w:eastAsia="Times New Roman" w:hAnsi="Calibri" w:cs="Calibri"/>
          <w:lang w:eastAsia="es-ES_tradnl"/>
        </w:rPr>
        <w:t>Que he estat sancionat amb una multa en el procediment de la referència per incompliment de les mesures previstes en l’article 7 del Reial Decret 465/2020, de 17 de març, pel qual es declara l’estat d’alarma per la gestió de la situació de crisi sanitària ocasionada per la COVID-19.</w:t>
      </w:r>
    </w:p>
    <w:p w:rsidR="00C912C1" w:rsidRDefault="00C912C1">
      <w:pPr>
        <w:rPr>
          <w:rFonts w:ascii="Calibri" w:eastAsia="Times New Roman" w:hAnsi="Calibri" w:cs="Calibri"/>
          <w:lang w:eastAsia="es-ES_tradnl"/>
        </w:rPr>
      </w:pPr>
    </w:p>
    <w:p w:rsidR="00C912C1" w:rsidRDefault="00C912C1">
      <w:pPr>
        <w:rPr>
          <w:rFonts w:ascii="Calibri" w:eastAsia="Times New Roman" w:hAnsi="Calibri" w:cs="Calibri"/>
          <w:lang w:eastAsia="es-ES_tradnl"/>
        </w:rPr>
      </w:pPr>
      <w:r>
        <w:rPr>
          <w:rFonts w:ascii="Calibri" w:eastAsia="Times New Roman" w:hAnsi="Calibri" w:cs="Calibri"/>
          <w:lang w:eastAsia="es-ES_tradnl"/>
        </w:rPr>
        <w:t>Que els preceptes indicats al paràgraf anterior han estat declarats inconstitucionals per sentència del Tribunal Constitucional de 14 de juliol de 2021 (recurs d’inconstitucionalitat 2054/2020).</w:t>
      </w:r>
    </w:p>
    <w:p w:rsidR="00C912C1" w:rsidRDefault="00C912C1">
      <w:pPr>
        <w:rPr>
          <w:rFonts w:ascii="Calibri" w:eastAsia="Times New Roman" w:hAnsi="Calibri" w:cs="Calibri"/>
          <w:lang w:eastAsia="es-ES_tradnl"/>
        </w:rPr>
      </w:pPr>
    </w:p>
    <w:p w:rsidR="00C912C1" w:rsidRDefault="00C912C1">
      <w:pPr>
        <w:rPr>
          <w:rFonts w:ascii="Calibri" w:eastAsia="Times New Roman" w:hAnsi="Calibri" w:cs="Calibri"/>
          <w:lang w:eastAsia="es-ES_tradnl"/>
        </w:rPr>
      </w:pPr>
      <w:r>
        <w:rPr>
          <w:rFonts w:ascii="Calibri" w:eastAsia="Times New Roman" w:hAnsi="Calibri" w:cs="Calibri"/>
          <w:lang w:eastAsia="es-ES_tradnl"/>
        </w:rPr>
        <w:t xml:space="preserve">Que de conformitat amb els articles 47.1.a) de la Llei de Procediment Administratiu Comú, 40.1 de la Llei Orgànica del Tribunal Constitucional, 19 i 25 CE i el fonament de dret onzè (apartat b, pàgines 78 i 79) de la mencionada sentència de 14 de juliol de 2021, la sanció és nul·la de ple dret. </w:t>
      </w:r>
    </w:p>
    <w:p w:rsidR="00C912C1" w:rsidRDefault="00C912C1">
      <w:pPr>
        <w:rPr>
          <w:rFonts w:ascii="Calibri" w:eastAsia="Times New Roman" w:hAnsi="Calibri" w:cs="Calibri"/>
          <w:lang w:eastAsia="es-ES_tradnl"/>
        </w:rPr>
      </w:pPr>
    </w:p>
    <w:p w:rsidR="00C912C1" w:rsidRDefault="00C912C1">
      <w:pPr>
        <w:rPr>
          <w:rFonts w:ascii="Calibri" w:eastAsia="Times New Roman" w:hAnsi="Calibri" w:cs="Calibri"/>
          <w:lang w:eastAsia="es-ES_tradnl"/>
        </w:rPr>
      </w:pPr>
      <w:r>
        <w:rPr>
          <w:rFonts w:ascii="Calibri" w:eastAsia="Times New Roman" w:hAnsi="Calibri" w:cs="Calibri"/>
          <w:lang w:eastAsia="es-ES_tradnl"/>
        </w:rPr>
        <w:t>Que degut a que aquesta Administració incompleix el deure constitucional de seguir la Llei i el Dret (article 103 CE) i no declara per ella mateixa la nul·litat de la sanció, de conformitat amb l’article 106 de la Llei de Procediment Administratiu Comú.</w:t>
      </w:r>
    </w:p>
    <w:p w:rsidR="00C912C1" w:rsidRDefault="00C912C1">
      <w:pPr>
        <w:rPr>
          <w:rFonts w:ascii="Calibri" w:eastAsia="Times New Roman" w:hAnsi="Calibri" w:cs="Calibri"/>
          <w:lang w:eastAsia="es-ES_tradnl"/>
        </w:rPr>
      </w:pPr>
    </w:p>
    <w:p w:rsidR="00C912C1" w:rsidRDefault="00C912C1">
      <w:pPr>
        <w:rPr>
          <w:rFonts w:ascii="Calibri" w:eastAsia="Times New Roman" w:hAnsi="Calibri" w:cs="Calibri"/>
          <w:lang w:eastAsia="es-ES_tradnl"/>
        </w:rPr>
      </w:pPr>
    </w:p>
    <w:p w:rsidR="00C912C1" w:rsidRDefault="00C912C1">
      <w:pPr>
        <w:rPr>
          <w:rFonts w:ascii="Calibri" w:eastAsia="Times New Roman" w:hAnsi="Calibri" w:cs="Calibri"/>
          <w:lang w:eastAsia="es-ES_tradnl"/>
        </w:rPr>
      </w:pPr>
    </w:p>
    <w:p w:rsidR="00C912C1" w:rsidRDefault="00C912C1">
      <w:pPr>
        <w:rPr>
          <w:rFonts w:ascii="Calibri" w:eastAsia="Times New Roman" w:hAnsi="Calibri" w:cs="Calibri"/>
          <w:lang w:eastAsia="es-ES_tradnl"/>
        </w:rPr>
      </w:pPr>
      <w:r>
        <w:rPr>
          <w:rFonts w:ascii="Calibri" w:eastAsia="Times New Roman" w:hAnsi="Calibri" w:cs="Calibri"/>
          <w:lang w:eastAsia="es-ES_tradnl"/>
        </w:rPr>
        <w:t>SOL·LICITO</w:t>
      </w:r>
      <w:r w:rsidR="00451946">
        <w:rPr>
          <w:rFonts w:ascii="Calibri" w:eastAsia="Times New Roman" w:hAnsi="Calibri" w:cs="Calibri"/>
          <w:lang w:eastAsia="es-ES_tradnl"/>
        </w:rPr>
        <w:t>:</w:t>
      </w:r>
      <w:bookmarkStart w:id="0" w:name="_GoBack"/>
      <w:bookmarkEnd w:id="0"/>
    </w:p>
    <w:p w:rsidR="00C912C1" w:rsidRDefault="00C912C1">
      <w:pPr>
        <w:rPr>
          <w:rFonts w:ascii="Calibri" w:eastAsia="Times New Roman" w:hAnsi="Calibri" w:cs="Calibri"/>
          <w:lang w:eastAsia="es-ES_tradnl"/>
        </w:rPr>
      </w:pPr>
    </w:p>
    <w:p w:rsidR="00C912C1" w:rsidRDefault="00C912C1">
      <w:pPr>
        <w:rPr>
          <w:rFonts w:ascii="Calibri" w:eastAsia="Times New Roman" w:hAnsi="Calibri" w:cs="Calibri"/>
          <w:lang w:eastAsia="es-ES_tradnl"/>
        </w:rPr>
      </w:pPr>
      <w:r>
        <w:rPr>
          <w:rFonts w:ascii="Calibri" w:eastAsia="Times New Roman" w:hAnsi="Calibri" w:cs="Calibri"/>
          <w:lang w:eastAsia="es-ES_tradnl"/>
        </w:rPr>
        <w:t>Que s’inco</w:t>
      </w:r>
      <w:r w:rsidR="00451946">
        <w:rPr>
          <w:rFonts w:ascii="Calibri" w:eastAsia="Times New Roman" w:hAnsi="Calibri" w:cs="Calibri"/>
          <w:lang w:eastAsia="es-ES_tradnl"/>
        </w:rPr>
        <w:t>ï</w:t>
      </w:r>
      <w:r>
        <w:rPr>
          <w:rFonts w:ascii="Calibri" w:eastAsia="Times New Roman" w:hAnsi="Calibri" w:cs="Calibri"/>
          <w:lang w:eastAsia="es-ES_tradnl"/>
        </w:rPr>
        <w:t xml:space="preserve"> procediment de Revisió d’Ofici i, en mèrit de l’exposat, es declari la nul·litat de ple dret de la resolució recaiguda en el procediment de la referència, amb devolució de l’import de la sanció, més interessos legals des de la data del seu ingrés.</w:t>
      </w:r>
    </w:p>
    <w:p w:rsidR="00C912C1" w:rsidRDefault="00C912C1">
      <w:pPr>
        <w:rPr>
          <w:rFonts w:ascii="Calibri" w:eastAsia="Times New Roman" w:hAnsi="Calibri" w:cs="Calibri"/>
          <w:lang w:eastAsia="es-ES_tradnl"/>
        </w:rPr>
      </w:pPr>
    </w:p>
    <w:p w:rsidR="00C912C1" w:rsidRDefault="00C912C1">
      <w:pPr>
        <w:rPr>
          <w:rFonts w:ascii="Calibri" w:eastAsia="Times New Roman" w:hAnsi="Calibri" w:cs="Calibri"/>
          <w:lang w:eastAsia="es-ES_tradnl"/>
        </w:rPr>
      </w:pPr>
    </w:p>
    <w:p w:rsidR="00C912C1" w:rsidRDefault="00C912C1">
      <w:pPr>
        <w:rPr>
          <w:rFonts w:ascii="Calibri" w:eastAsia="Times New Roman" w:hAnsi="Calibri" w:cs="Calibri"/>
          <w:lang w:eastAsia="es-ES_tradnl"/>
        </w:rPr>
      </w:pPr>
      <w:r>
        <w:rPr>
          <w:rFonts w:ascii="Calibri" w:eastAsia="Times New Roman" w:hAnsi="Calibri" w:cs="Calibri"/>
          <w:lang w:eastAsia="es-ES_tradnl"/>
        </w:rPr>
        <w:t>(Lloc), (data).</w:t>
      </w:r>
    </w:p>
    <w:p w:rsidR="00C912C1" w:rsidRDefault="00C912C1">
      <w:pPr>
        <w:rPr>
          <w:rFonts w:ascii="Calibri" w:eastAsia="Times New Roman" w:hAnsi="Calibri" w:cs="Calibri"/>
          <w:lang w:eastAsia="es-ES_tradnl"/>
        </w:rPr>
      </w:pPr>
    </w:p>
    <w:p w:rsidR="00C912C1" w:rsidRPr="00DD475E" w:rsidRDefault="00C912C1">
      <w:pPr>
        <w:rPr>
          <w:rFonts w:ascii="Calibri" w:eastAsia="Times New Roman" w:hAnsi="Calibri" w:cs="Calibri"/>
          <w:lang w:eastAsia="es-ES_tradnl"/>
        </w:rPr>
      </w:pPr>
      <w:r>
        <w:rPr>
          <w:rFonts w:ascii="Calibri" w:eastAsia="Times New Roman" w:hAnsi="Calibri" w:cs="Calibri"/>
          <w:lang w:eastAsia="es-ES_tradnl"/>
        </w:rPr>
        <w:t xml:space="preserve">Firmat. </w:t>
      </w:r>
    </w:p>
    <w:sectPr w:rsidR="00C912C1" w:rsidRPr="00DD475E" w:rsidSect="00932A0A">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2863"/>
    <w:multiLevelType w:val="hybridMultilevel"/>
    <w:tmpl w:val="530A095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CAB0D8F"/>
    <w:multiLevelType w:val="hybridMultilevel"/>
    <w:tmpl w:val="CDEC57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2CD6221"/>
    <w:multiLevelType w:val="hybridMultilevel"/>
    <w:tmpl w:val="B022AA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CBF0CDC"/>
    <w:multiLevelType w:val="hybridMultilevel"/>
    <w:tmpl w:val="0A76D3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54B"/>
    <w:rsid w:val="00067B04"/>
    <w:rsid w:val="0007533C"/>
    <w:rsid w:val="00076030"/>
    <w:rsid w:val="000B1841"/>
    <w:rsid w:val="00141D50"/>
    <w:rsid w:val="0019017F"/>
    <w:rsid w:val="001B15CB"/>
    <w:rsid w:val="001B3CBA"/>
    <w:rsid w:val="001C7835"/>
    <w:rsid w:val="001F5CF1"/>
    <w:rsid w:val="00204E6B"/>
    <w:rsid w:val="00213E3B"/>
    <w:rsid w:val="00240CFF"/>
    <w:rsid w:val="00244900"/>
    <w:rsid w:val="00276C6F"/>
    <w:rsid w:val="002C5E31"/>
    <w:rsid w:val="00321020"/>
    <w:rsid w:val="003410E3"/>
    <w:rsid w:val="00343DA6"/>
    <w:rsid w:val="00393CEC"/>
    <w:rsid w:val="003F2934"/>
    <w:rsid w:val="00420BDE"/>
    <w:rsid w:val="00451946"/>
    <w:rsid w:val="00456AFD"/>
    <w:rsid w:val="00565FCB"/>
    <w:rsid w:val="00582C2A"/>
    <w:rsid w:val="005D0801"/>
    <w:rsid w:val="005E5D70"/>
    <w:rsid w:val="005E7BC3"/>
    <w:rsid w:val="006213B2"/>
    <w:rsid w:val="006415A5"/>
    <w:rsid w:val="006620C0"/>
    <w:rsid w:val="006762E3"/>
    <w:rsid w:val="00696F31"/>
    <w:rsid w:val="006A04C9"/>
    <w:rsid w:val="0074423D"/>
    <w:rsid w:val="007A50A8"/>
    <w:rsid w:val="0087292E"/>
    <w:rsid w:val="008D5C39"/>
    <w:rsid w:val="009216C7"/>
    <w:rsid w:val="00932A0A"/>
    <w:rsid w:val="00937138"/>
    <w:rsid w:val="00947E85"/>
    <w:rsid w:val="009A77DD"/>
    <w:rsid w:val="009D1F41"/>
    <w:rsid w:val="00A06BFA"/>
    <w:rsid w:val="00A31474"/>
    <w:rsid w:val="00A94DCE"/>
    <w:rsid w:val="00AD09FD"/>
    <w:rsid w:val="00B36015"/>
    <w:rsid w:val="00B42C90"/>
    <w:rsid w:val="00B45573"/>
    <w:rsid w:val="00BA570D"/>
    <w:rsid w:val="00C649F0"/>
    <w:rsid w:val="00C912C1"/>
    <w:rsid w:val="00CC47A5"/>
    <w:rsid w:val="00D3775E"/>
    <w:rsid w:val="00DD475E"/>
    <w:rsid w:val="00DE72A7"/>
    <w:rsid w:val="00E0154B"/>
    <w:rsid w:val="00E17D24"/>
    <w:rsid w:val="00E305FA"/>
    <w:rsid w:val="00E912A9"/>
    <w:rsid w:val="00EB0914"/>
    <w:rsid w:val="00F166E7"/>
    <w:rsid w:val="00F44BBD"/>
    <w:rsid w:val="00F508B1"/>
    <w:rsid w:val="00F75339"/>
    <w:rsid w:val="00FE1DF2"/>
    <w:rsid w:val="00FE57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22CD5652"/>
  <w15:chartTrackingRefBased/>
  <w15:docId w15:val="{42145F72-4B06-0946-96B5-18DA6D22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ca-ES"/>
    </w:rPr>
  </w:style>
  <w:style w:type="paragraph" w:styleId="Ttulo2">
    <w:name w:val="heading 2"/>
    <w:basedOn w:val="Normal"/>
    <w:link w:val="Ttulo2Car"/>
    <w:uiPriority w:val="9"/>
    <w:qFormat/>
    <w:rsid w:val="00F166E7"/>
    <w:pPr>
      <w:spacing w:before="100" w:beforeAutospacing="1" w:after="100" w:afterAutospacing="1"/>
      <w:outlineLvl w:val="1"/>
    </w:pPr>
    <w:rPr>
      <w:rFonts w:ascii="Times New Roman" w:eastAsia="Times New Roman" w:hAnsi="Times New Roman" w:cs="Times New Roman"/>
      <w:b/>
      <w:bCs/>
      <w:sz w:val="36"/>
      <w:szCs w:val="36"/>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3DA6"/>
    <w:pPr>
      <w:ind w:left="720"/>
      <w:contextualSpacing/>
    </w:pPr>
  </w:style>
  <w:style w:type="character" w:customStyle="1" w:styleId="Ttulo2Car">
    <w:name w:val="Título 2 Car"/>
    <w:basedOn w:val="Fuentedeprrafopredeter"/>
    <w:link w:val="Ttulo2"/>
    <w:uiPriority w:val="9"/>
    <w:rsid w:val="00F166E7"/>
    <w:rPr>
      <w:rFonts w:ascii="Times New Roman" w:eastAsia="Times New Roman" w:hAnsi="Times New Roman" w:cs="Times New Roman"/>
      <w:b/>
      <w:bCs/>
      <w:sz w:val="36"/>
      <w:szCs w:val="36"/>
      <w:lang w:eastAsia="es-ES_tradnl"/>
    </w:rPr>
  </w:style>
  <w:style w:type="character" w:styleId="Hipervnculo">
    <w:name w:val="Hyperlink"/>
    <w:basedOn w:val="Fuentedeprrafopredeter"/>
    <w:uiPriority w:val="99"/>
    <w:semiHidden/>
    <w:unhideWhenUsed/>
    <w:rsid w:val="00F166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19478">
      <w:bodyDiv w:val="1"/>
      <w:marLeft w:val="0"/>
      <w:marRight w:val="0"/>
      <w:marTop w:val="0"/>
      <w:marBottom w:val="0"/>
      <w:divBdr>
        <w:top w:val="none" w:sz="0" w:space="0" w:color="auto"/>
        <w:left w:val="none" w:sz="0" w:space="0" w:color="auto"/>
        <w:bottom w:val="none" w:sz="0" w:space="0" w:color="auto"/>
        <w:right w:val="none" w:sz="0" w:space="0" w:color="auto"/>
      </w:divBdr>
    </w:div>
    <w:div w:id="247151539">
      <w:bodyDiv w:val="1"/>
      <w:marLeft w:val="0"/>
      <w:marRight w:val="0"/>
      <w:marTop w:val="0"/>
      <w:marBottom w:val="0"/>
      <w:divBdr>
        <w:top w:val="none" w:sz="0" w:space="0" w:color="auto"/>
        <w:left w:val="none" w:sz="0" w:space="0" w:color="auto"/>
        <w:bottom w:val="none" w:sz="0" w:space="0" w:color="auto"/>
        <w:right w:val="none" w:sz="0" w:space="0" w:color="auto"/>
      </w:divBdr>
    </w:div>
    <w:div w:id="774057314">
      <w:bodyDiv w:val="1"/>
      <w:marLeft w:val="0"/>
      <w:marRight w:val="0"/>
      <w:marTop w:val="0"/>
      <w:marBottom w:val="0"/>
      <w:divBdr>
        <w:top w:val="none" w:sz="0" w:space="0" w:color="auto"/>
        <w:left w:val="none" w:sz="0" w:space="0" w:color="auto"/>
        <w:bottom w:val="none" w:sz="0" w:space="0" w:color="auto"/>
        <w:right w:val="none" w:sz="0" w:space="0" w:color="auto"/>
      </w:divBdr>
    </w:div>
    <w:div w:id="1078164936">
      <w:bodyDiv w:val="1"/>
      <w:marLeft w:val="0"/>
      <w:marRight w:val="0"/>
      <w:marTop w:val="0"/>
      <w:marBottom w:val="0"/>
      <w:divBdr>
        <w:top w:val="none" w:sz="0" w:space="0" w:color="auto"/>
        <w:left w:val="none" w:sz="0" w:space="0" w:color="auto"/>
        <w:bottom w:val="none" w:sz="0" w:space="0" w:color="auto"/>
        <w:right w:val="none" w:sz="0" w:space="0" w:color="auto"/>
      </w:divBdr>
    </w:div>
    <w:div w:id="1204094248">
      <w:bodyDiv w:val="1"/>
      <w:marLeft w:val="0"/>
      <w:marRight w:val="0"/>
      <w:marTop w:val="0"/>
      <w:marBottom w:val="0"/>
      <w:divBdr>
        <w:top w:val="none" w:sz="0" w:space="0" w:color="auto"/>
        <w:left w:val="none" w:sz="0" w:space="0" w:color="auto"/>
        <w:bottom w:val="none" w:sz="0" w:space="0" w:color="auto"/>
        <w:right w:val="none" w:sz="0" w:space="0" w:color="auto"/>
      </w:divBdr>
    </w:div>
    <w:div w:id="1457218690">
      <w:bodyDiv w:val="1"/>
      <w:marLeft w:val="0"/>
      <w:marRight w:val="0"/>
      <w:marTop w:val="0"/>
      <w:marBottom w:val="0"/>
      <w:divBdr>
        <w:top w:val="none" w:sz="0" w:space="0" w:color="auto"/>
        <w:left w:val="none" w:sz="0" w:space="0" w:color="auto"/>
        <w:bottom w:val="none" w:sz="0" w:space="0" w:color="auto"/>
        <w:right w:val="none" w:sz="0" w:space="0" w:color="auto"/>
      </w:divBdr>
    </w:div>
    <w:div w:id="1624653953">
      <w:bodyDiv w:val="1"/>
      <w:marLeft w:val="0"/>
      <w:marRight w:val="0"/>
      <w:marTop w:val="0"/>
      <w:marBottom w:val="0"/>
      <w:divBdr>
        <w:top w:val="none" w:sz="0" w:space="0" w:color="auto"/>
        <w:left w:val="none" w:sz="0" w:space="0" w:color="auto"/>
        <w:bottom w:val="none" w:sz="0" w:space="0" w:color="auto"/>
        <w:right w:val="none" w:sz="0" w:space="0" w:color="auto"/>
      </w:divBdr>
    </w:div>
    <w:div w:id="1881934173">
      <w:bodyDiv w:val="1"/>
      <w:marLeft w:val="0"/>
      <w:marRight w:val="0"/>
      <w:marTop w:val="0"/>
      <w:marBottom w:val="0"/>
      <w:divBdr>
        <w:top w:val="none" w:sz="0" w:space="0" w:color="auto"/>
        <w:left w:val="none" w:sz="0" w:space="0" w:color="auto"/>
        <w:bottom w:val="none" w:sz="0" w:space="0" w:color="auto"/>
        <w:right w:val="none" w:sz="0" w:space="0" w:color="auto"/>
      </w:divBdr>
    </w:div>
    <w:div w:id="1908883330">
      <w:bodyDiv w:val="1"/>
      <w:marLeft w:val="0"/>
      <w:marRight w:val="0"/>
      <w:marTop w:val="0"/>
      <w:marBottom w:val="0"/>
      <w:divBdr>
        <w:top w:val="none" w:sz="0" w:space="0" w:color="auto"/>
        <w:left w:val="none" w:sz="0" w:space="0" w:color="auto"/>
        <w:bottom w:val="none" w:sz="0" w:space="0" w:color="auto"/>
        <w:right w:val="none" w:sz="0" w:space="0" w:color="auto"/>
      </w:divBdr>
    </w:div>
    <w:div w:id="1996453729">
      <w:bodyDiv w:val="1"/>
      <w:marLeft w:val="0"/>
      <w:marRight w:val="0"/>
      <w:marTop w:val="0"/>
      <w:marBottom w:val="0"/>
      <w:divBdr>
        <w:top w:val="none" w:sz="0" w:space="0" w:color="auto"/>
        <w:left w:val="none" w:sz="0" w:space="0" w:color="auto"/>
        <w:bottom w:val="none" w:sz="0" w:space="0" w:color="auto"/>
        <w:right w:val="none" w:sz="0" w:space="0" w:color="auto"/>
      </w:divBdr>
    </w:div>
    <w:div w:id="202762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667</TotalTime>
  <Pages>1</Pages>
  <Words>239</Words>
  <Characters>1317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2021-07-27T10:14:00Z</dcterms:created>
  <dcterms:modified xsi:type="dcterms:W3CDTF">2021-08-04T05:48:00Z</dcterms:modified>
</cp:coreProperties>
</file>